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DD" w:rsidRDefault="001A2DDD" w:rsidP="0068274A">
      <w:pPr>
        <w:rPr>
          <w:b/>
          <w:bCs/>
        </w:rPr>
      </w:pPr>
    </w:p>
    <w:tbl>
      <w:tblPr>
        <w:tblW w:w="0" w:type="auto"/>
        <w:jc w:val="center"/>
        <w:tblLook w:val="04A0"/>
      </w:tblPr>
      <w:tblGrid>
        <w:gridCol w:w="2468"/>
        <w:gridCol w:w="6699"/>
      </w:tblGrid>
      <w:tr w:rsidR="0054481C" w:rsidRPr="0006355A" w:rsidTr="00A13273">
        <w:trPr>
          <w:trHeight w:val="328"/>
          <w:jc w:val="center"/>
        </w:trPr>
        <w:tc>
          <w:tcPr>
            <w:tcW w:w="2468" w:type="dxa"/>
            <w:vMerge w:val="restart"/>
            <w:shd w:val="clear" w:color="auto" w:fill="auto"/>
          </w:tcPr>
          <w:p w:rsidR="0054481C" w:rsidRPr="0006355A" w:rsidRDefault="0054481C" w:rsidP="004D120A">
            <w:pPr>
              <w:rPr>
                <w:rFonts w:ascii="Calibri" w:hAnsi="Calibri" w:cs="Calibri"/>
                <w:sz w:val="24"/>
                <w:szCs w:val="24"/>
              </w:rPr>
            </w:pPr>
            <w:r w:rsidRPr="0006355A">
              <w:rPr>
                <w:rFonts w:ascii="Calibri" w:hAnsi="Calibri" w:cs="Calibr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190625" cy="627380"/>
                  <wp:effectExtent l="0" t="0" r="9525" b="1270"/>
                  <wp:docPr id="1" name="Image 1" descr="C:\Documents and Settings\CHRIF\Bureau\logos dpef\logo-dpef-grand-form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C:\Documents and Settings\CHRIF\Bureau\logos dpef\logo-dpef-grand-form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9" w:type="dxa"/>
            <w:vAlign w:val="center"/>
          </w:tcPr>
          <w:p w:rsidR="0054481C" w:rsidRPr="0006355A" w:rsidRDefault="0054481C" w:rsidP="004D120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6355A">
              <w:rPr>
                <w:rFonts w:ascii="Calibri" w:hAnsi="Calibri" w:cs="Calibri"/>
                <w:b/>
                <w:sz w:val="24"/>
                <w:szCs w:val="24"/>
              </w:rPr>
              <w:t>RÉPUBLIQUE ISLAMIQUE DE MAURITANIE</w:t>
            </w:r>
          </w:p>
        </w:tc>
      </w:tr>
      <w:tr w:rsidR="0054481C" w:rsidRPr="0006355A" w:rsidTr="00A13273">
        <w:trPr>
          <w:trHeight w:val="328"/>
          <w:jc w:val="center"/>
        </w:trPr>
        <w:tc>
          <w:tcPr>
            <w:tcW w:w="2468" w:type="dxa"/>
            <w:vMerge/>
            <w:shd w:val="clear" w:color="auto" w:fill="auto"/>
          </w:tcPr>
          <w:p w:rsidR="0054481C" w:rsidRPr="0006355A" w:rsidRDefault="0054481C" w:rsidP="004D120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99" w:type="dxa"/>
          </w:tcPr>
          <w:p w:rsidR="0054481C" w:rsidRPr="0006355A" w:rsidRDefault="0054481C" w:rsidP="00910A41">
            <w:pPr>
              <w:rPr>
                <w:rFonts w:ascii="Calibri" w:hAnsi="Calibri" w:cs="Calibri"/>
                <w:sz w:val="24"/>
                <w:szCs w:val="24"/>
              </w:rPr>
            </w:pPr>
            <w:r w:rsidRPr="0006355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Ministère </w:t>
            </w:r>
            <w:r w:rsidR="00A65DA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de l’Economie et </w:t>
            </w:r>
            <w:r w:rsidR="00910A41">
              <w:rPr>
                <w:rFonts w:ascii="Calibri" w:hAnsi="Calibri" w:cs="Calibri"/>
                <w:b/>
                <w:bCs/>
                <w:sz w:val="24"/>
                <w:szCs w:val="24"/>
              </w:rPr>
              <w:t>de l’Industrie</w:t>
            </w:r>
          </w:p>
        </w:tc>
      </w:tr>
      <w:tr w:rsidR="0054481C" w:rsidRPr="00A13273" w:rsidTr="00A13273">
        <w:trPr>
          <w:trHeight w:val="328"/>
          <w:jc w:val="center"/>
        </w:trPr>
        <w:tc>
          <w:tcPr>
            <w:tcW w:w="2468" w:type="dxa"/>
            <w:vMerge/>
            <w:shd w:val="clear" w:color="auto" w:fill="auto"/>
          </w:tcPr>
          <w:p w:rsidR="0054481C" w:rsidRPr="00A13273" w:rsidRDefault="0054481C" w:rsidP="004D120A">
            <w:pPr>
              <w:rPr>
                <w:rFonts w:ascii="Calibri" w:hAnsi="Calibri" w:cs="Calibri"/>
                <w:b/>
                <w:bCs/>
                <w:i/>
                <w:iCs/>
                <w:smallCaps/>
                <w:sz w:val="24"/>
                <w:szCs w:val="24"/>
              </w:rPr>
            </w:pPr>
          </w:p>
        </w:tc>
        <w:tc>
          <w:tcPr>
            <w:tcW w:w="6699" w:type="dxa"/>
            <w:vAlign w:val="center"/>
          </w:tcPr>
          <w:p w:rsidR="00910A41" w:rsidRDefault="0054481C" w:rsidP="00910A41">
            <w:pPr>
              <w:rPr>
                <w:rFonts w:ascii="Calibri" w:hAnsi="Calibri" w:cs="Calibri"/>
                <w:i/>
                <w:iCs/>
                <w:smallCaps/>
                <w:sz w:val="24"/>
                <w:szCs w:val="24"/>
              </w:rPr>
            </w:pPr>
            <w:r w:rsidRPr="00A13273">
              <w:rPr>
                <w:rFonts w:ascii="Calibri" w:hAnsi="Calibri" w:cs="Calibri"/>
                <w:i/>
                <w:iCs/>
                <w:smallCaps/>
                <w:sz w:val="24"/>
                <w:szCs w:val="24"/>
              </w:rPr>
              <w:t>DIRECTION DES PROJETS EDUCATION – FORMATION</w:t>
            </w:r>
          </w:p>
          <w:p w:rsidR="000775F1" w:rsidRPr="00910A41" w:rsidRDefault="0054481C" w:rsidP="00910A41">
            <w:pPr>
              <w:rPr>
                <w:rFonts w:ascii="Calibri" w:hAnsi="Calibri" w:cs="Calibri"/>
                <w:i/>
                <w:iCs/>
                <w:smallCaps/>
                <w:sz w:val="24"/>
                <w:szCs w:val="24"/>
              </w:rPr>
            </w:pPr>
            <w:r w:rsidRPr="00A13273">
              <w:rPr>
                <w:rFonts w:ascii="Calibri" w:hAnsi="Calibri" w:cs="Calibri"/>
                <w:b/>
                <w:bCs/>
                <w:i/>
                <w:iCs/>
                <w:smallCaps/>
                <w:sz w:val="24"/>
                <w:szCs w:val="24"/>
              </w:rPr>
              <w:t xml:space="preserve">Commission </w:t>
            </w:r>
            <w:r w:rsidR="000775F1">
              <w:rPr>
                <w:rFonts w:ascii="Calibri" w:hAnsi="Calibri" w:cs="Calibri"/>
                <w:b/>
                <w:bCs/>
                <w:i/>
                <w:iCs/>
                <w:smallCaps/>
                <w:sz w:val="24"/>
                <w:szCs w:val="24"/>
              </w:rPr>
              <w:t xml:space="preserve">Interne des marches de l’autorité contractante </w:t>
            </w:r>
          </w:p>
          <w:p w:rsidR="00E67517" w:rsidRPr="00910A41" w:rsidRDefault="000775F1" w:rsidP="00910A41">
            <w:pPr>
              <w:jc w:val="center"/>
              <w:rPr>
                <w:rFonts w:ascii="Calibri" w:hAnsi="Calibri" w:cs="Calibri"/>
                <w:b/>
                <w:bCs/>
                <w:i/>
                <w:iCs/>
                <w:smallCap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mallCaps/>
                <w:sz w:val="24"/>
                <w:szCs w:val="24"/>
              </w:rPr>
              <w:t>(</w:t>
            </w:r>
            <w:proofErr w:type="spellStart"/>
            <w:r w:rsidRPr="00E67517">
              <w:rPr>
                <w:rFonts w:ascii="Calibri" w:hAnsi="Calibri" w:cs="Calibri"/>
                <w:b/>
                <w:bCs/>
                <w:i/>
                <w:iCs/>
                <w:smallCaps/>
                <w:sz w:val="36"/>
                <w:szCs w:val="36"/>
              </w:rPr>
              <w:t>cimac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mallCaps/>
                <w:sz w:val="24"/>
                <w:szCs w:val="24"/>
              </w:rPr>
              <w:t>)</w:t>
            </w:r>
          </w:p>
        </w:tc>
      </w:tr>
    </w:tbl>
    <w:p w:rsidR="00294F31" w:rsidRDefault="00294F31" w:rsidP="00294F31">
      <w:pPr>
        <w:spacing w:after="0"/>
        <w:jc w:val="right"/>
        <w:rPr>
          <w:sz w:val="24"/>
          <w:szCs w:val="24"/>
          <w:lang w:val="en-US"/>
        </w:rPr>
      </w:pPr>
    </w:p>
    <w:p w:rsidR="00A068AC" w:rsidRPr="00CB1608" w:rsidRDefault="00641D7F" w:rsidP="00C37ABE">
      <w:pPr>
        <w:spacing w:after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Nouakchott, le </w:t>
      </w:r>
      <w:r w:rsidR="00A068AC">
        <w:rPr>
          <w:sz w:val="24"/>
          <w:szCs w:val="24"/>
          <w:lang w:val="en-US"/>
        </w:rPr>
        <w:t>2</w:t>
      </w:r>
      <w:r w:rsidR="00EC10BB">
        <w:rPr>
          <w:sz w:val="24"/>
          <w:szCs w:val="24"/>
          <w:lang w:val="en-US"/>
        </w:rPr>
        <w:t>7</w:t>
      </w:r>
      <w:r w:rsidR="00BC749F">
        <w:rPr>
          <w:sz w:val="24"/>
          <w:szCs w:val="24"/>
          <w:lang w:val="en-US"/>
        </w:rPr>
        <w:t xml:space="preserve"> </w:t>
      </w:r>
      <w:r w:rsidR="00C37ABE">
        <w:rPr>
          <w:sz w:val="24"/>
          <w:szCs w:val="24"/>
          <w:lang w:val="en-US"/>
        </w:rPr>
        <w:t>Mai</w:t>
      </w:r>
      <w:r w:rsidR="001F5CFC">
        <w:rPr>
          <w:sz w:val="24"/>
          <w:szCs w:val="24"/>
          <w:lang w:val="en-US"/>
        </w:rPr>
        <w:t xml:space="preserve"> 2020</w:t>
      </w:r>
    </w:p>
    <w:p w:rsidR="00A068AC" w:rsidRDefault="00A068AC" w:rsidP="00A068AC">
      <w:pPr>
        <w:spacing w:after="0"/>
        <w:jc w:val="center"/>
        <w:rPr>
          <w:b/>
          <w:bCs/>
          <w:sz w:val="24"/>
          <w:szCs w:val="24"/>
        </w:rPr>
      </w:pPr>
    </w:p>
    <w:p w:rsidR="00A068AC" w:rsidRDefault="00EC10BB" w:rsidP="00CB1608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Avis </w:t>
      </w:r>
    </w:p>
    <w:p w:rsidR="00EC10BB" w:rsidRDefault="00EC10BB" w:rsidP="005B7F9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B1608">
        <w:rPr>
          <w:sz w:val="24"/>
          <w:szCs w:val="24"/>
        </w:rPr>
        <w:t xml:space="preserve">Les bureaux et groupements de bureaux ci-dessous sont présélectionnés dans le cadre de la liste restreinte pour le recrutement d’un consultant (firme) </w:t>
      </w:r>
      <w:r w:rsidR="00C237E7">
        <w:rPr>
          <w:sz w:val="24"/>
          <w:szCs w:val="24"/>
        </w:rPr>
        <w:t xml:space="preserve">pour l’appui du Ministère de l’Enseignement Fondamental dans le cadre de la réforme du secteur de l’éducation (Zone </w:t>
      </w:r>
      <w:r w:rsidR="005B7F93">
        <w:rPr>
          <w:sz w:val="24"/>
          <w:szCs w:val="24"/>
        </w:rPr>
        <w:t>2</w:t>
      </w:r>
      <w:r w:rsidR="00C237E7">
        <w:rPr>
          <w:sz w:val="24"/>
          <w:szCs w:val="24"/>
        </w:rPr>
        <w:t>) </w:t>
      </w:r>
    </w:p>
    <w:p w:rsidR="005B7F93" w:rsidRDefault="005B7F93" w:rsidP="005B7F9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817"/>
        <w:gridCol w:w="4820"/>
        <w:gridCol w:w="3260"/>
      </w:tblGrid>
      <w:tr w:rsidR="004259B3" w:rsidTr="004259B3">
        <w:tc>
          <w:tcPr>
            <w:tcW w:w="817" w:type="dxa"/>
          </w:tcPr>
          <w:p w:rsidR="004259B3" w:rsidRPr="009F506E" w:rsidRDefault="004259B3" w:rsidP="00B951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4820" w:type="dxa"/>
          </w:tcPr>
          <w:p w:rsidR="004259B3" w:rsidRPr="009F506E" w:rsidRDefault="004259B3" w:rsidP="00B951A0">
            <w:pPr>
              <w:jc w:val="center"/>
              <w:rPr>
                <w:b/>
                <w:bCs/>
                <w:sz w:val="24"/>
                <w:szCs w:val="24"/>
              </w:rPr>
            </w:pPr>
            <w:r w:rsidRPr="009F506E">
              <w:rPr>
                <w:b/>
                <w:bCs/>
                <w:sz w:val="24"/>
                <w:szCs w:val="24"/>
              </w:rPr>
              <w:t>Consultant</w:t>
            </w:r>
          </w:p>
        </w:tc>
        <w:tc>
          <w:tcPr>
            <w:tcW w:w="3260" w:type="dxa"/>
          </w:tcPr>
          <w:p w:rsidR="004259B3" w:rsidRPr="009F506E" w:rsidRDefault="004259B3" w:rsidP="00B951A0">
            <w:pPr>
              <w:jc w:val="center"/>
              <w:rPr>
                <w:b/>
                <w:bCs/>
                <w:sz w:val="24"/>
                <w:szCs w:val="24"/>
              </w:rPr>
            </w:pPr>
            <w:r w:rsidRPr="009F506E">
              <w:rPr>
                <w:b/>
                <w:bCs/>
                <w:sz w:val="24"/>
                <w:szCs w:val="24"/>
              </w:rPr>
              <w:t>Nationalité</w:t>
            </w:r>
          </w:p>
        </w:tc>
      </w:tr>
      <w:tr w:rsidR="004259B3" w:rsidTr="004259B3">
        <w:tc>
          <w:tcPr>
            <w:tcW w:w="817" w:type="dxa"/>
          </w:tcPr>
          <w:p w:rsidR="004259B3" w:rsidRDefault="004259B3" w:rsidP="00B9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259B3" w:rsidRDefault="004259B3" w:rsidP="00B951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Perfect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Consult</w:t>
            </w:r>
            <w:proofErr w:type="spellEnd"/>
          </w:p>
        </w:tc>
        <w:tc>
          <w:tcPr>
            <w:tcW w:w="3260" w:type="dxa"/>
          </w:tcPr>
          <w:p w:rsidR="004259B3" w:rsidRDefault="004259B3" w:rsidP="00B9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Mauritanie</w:t>
            </w:r>
          </w:p>
        </w:tc>
      </w:tr>
      <w:tr w:rsidR="004259B3" w:rsidTr="004259B3">
        <w:tc>
          <w:tcPr>
            <w:tcW w:w="817" w:type="dxa"/>
          </w:tcPr>
          <w:p w:rsidR="004259B3" w:rsidRDefault="004259B3" w:rsidP="00B9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4259B3" w:rsidRDefault="004259B3" w:rsidP="00B951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Gpt</w:t>
            </w:r>
            <w:proofErr w:type="spellEnd"/>
            <w:r>
              <w:rPr>
                <w:sz w:val="24"/>
                <w:szCs w:val="24"/>
              </w:rPr>
              <w:t xml:space="preserve"> EST/Sud </w:t>
            </w:r>
            <w:proofErr w:type="spellStart"/>
            <w:r>
              <w:rPr>
                <w:sz w:val="24"/>
                <w:szCs w:val="24"/>
              </w:rPr>
              <w:t>Consult</w:t>
            </w:r>
            <w:proofErr w:type="spellEnd"/>
          </w:p>
        </w:tc>
        <w:tc>
          <w:tcPr>
            <w:tcW w:w="3260" w:type="dxa"/>
          </w:tcPr>
          <w:p w:rsidR="004259B3" w:rsidRDefault="004259B3" w:rsidP="00B951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Maurianie</w:t>
            </w:r>
            <w:proofErr w:type="spellEnd"/>
          </w:p>
        </w:tc>
      </w:tr>
      <w:tr w:rsidR="004259B3" w:rsidTr="004259B3">
        <w:tc>
          <w:tcPr>
            <w:tcW w:w="817" w:type="dxa"/>
          </w:tcPr>
          <w:p w:rsidR="004259B3" w:rsidRDefault="004259B3" w:rsidP="00B9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4259B3" w:rsidRDefault="004259B3" w:rsidP="00B951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Gpt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Cide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Bumec</w:t>
            </w:r>
            <w:proofErr w:type="spellEnd"/>
          </w:p>
        </w:tc>
        <w:tc>
          <w:tcPr>
            <w:tcW w:w="3260" w:type="dxa"/>
          </w:tcPr>
          <w:p w:rsidR="004259B3" w:rsidRDefault="004259B3" w:rsidP="00B9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Canada</w:t>
            </w:r>
          </w:p>
        </w:tc>
      </w:tr>
      <w:tr w:rsidR="004259B3" w:rsidTr="004259B3">
        <w:tc>
          <w:tcPr>
            <w:tcW w:w="817" w:type="dxa"/>
          </w:tcPr>
          <w:p w:rsidR="004259B3" w:rsidRDefault="004259B3" w:rsidP="00B9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4259B3" w:rsidRDefault="004259B3" w:rsidP="00B951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Binor</w:t>
            </w:r>
            <w:proofErr w:type="spellEnd"/>
            <w:r>
              <w:rPr>
                <w:sz w:val="24"/>
                <w:szCs w:val="24"/>
              </w:rPr>
              <w:t xml:space="preserve"> et Associés</w:t>
            </w:r>
          </w:p>
        </w:tc>
        <w:tc>
          <w:tcPr>
            <w:tcW w:w="3260" w:type="dxa"/>
          </w:tcPr>
          <w:p w:rsidR="004259B3" w:rsidRDefault="004259B3" w:rsidP="00B9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Mauritanie</w:t>
            </w:r>
          </w:p>
        </w:tc>
      </w:tr>
      <w:tr w:rsidR="004259B3" w:rsidTr="004259B3">
        <w:tc>
          <w:tcPr>
            <w:tcW w:w="817" w:type="dxa"/>
          </w:tcPr>
          <w:p w:rsidR="004259B3" w:rsidRDefault="004259B3" w:rsidP="00B9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4259B3" w:rsidRDefault="004259B3" w:rsidP="00B9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BECR</w:t>
            </w:r>
          </w:p>
        </w:tc>
        <w:tc>
          <w:tcPr>
            <w:tcW w:w="3260" w:type="dxa"/>
          </w:tcPr>
          <w:p w:rsidR="004259B3" w:rsidRDefault="004259B3" w:rsidP="00B9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Mauritanie</w:t>
            </w:r>
          </w:p>
        </w:tc>
      </w:tr>
      <w:tr w:rsidR="004259B3" w:rsidTr="004259B3">
        <w:tc>
          <w:tcPr>
            <w:tcW w:w="817" w:type="dxa"/>
          </w:tcPr>
          <w:p w:rsidR="004259B3" w:rsidRDefault="004259B3" w:rsidP="00B9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4259B3" w:rsidRDefault="004259B3" w:rsidP="00B9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TAGHADOUM</w:t>
            </w:r>
          </w:p>
        </w:tc>
        <w:tc>
          <w:tcPr>
            <w:tcW w:w="3260" w:type="dxa"/>
          </w:tcPr>
          <w:p w:rsidR="004259B3" w:rsidRDefault="004259B3" w:rsidP="00B9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Mauritanie</w:t>
            </w:r>
          </w:p>
        </w:tc>
      </w:tr>
    </w:tbl>
    <w:p w:rsidR="00C237E7" w:rsidRDefault="00C237E7" w:rsidP="00C237E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C237E7" w:rsidRDefault="00BC7946" w:rsidP="00C237E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Une demande de Proposition vous sera adressée prochainement.</w:t>
      </w:r>
    </w:p>
    <w:p w:rsidR="00BC7946" w:rsidRPr="00EC10BB" w:rsidRDefault="00BC7946" w:rsidP="00C237E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068AC" w:rsidRDefault="00A068AC" w:rsidP="00641D7F">
      <w:pPr>
        <w:spacing w:after="0"/>
        <w:jc w:val="right"/>
        <w:rPr>
          <w:sz w:val="24"/>
          <w:szCs w:val="24"/>
        </w:rPr>
      </w:pPr>
    </w:p>
    <w:p w:rsidR="00A068AC" w:rsidRPr="00BC7946" w:rsidRDefault="00CB1608" w:rsidP="00CB1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BC7946">
        <w:rPr>
          <w:sz w:val="20"/>
          <w:szCs w:val="20"/>
        </w:rPr>
        <w:t xml:space="preserve">NB : </w:t>
      </w:r>
      <w:r w:rsidR="00EC10BB" w:rsidRPr="00BC7946">
        <w:rPr>
          <w:sz w:val="20"/>
          <w:szCs w:val="20"/>
        </w:rPr>
        <w:t xml:space="preserve">La présente publication ouvre le délai </w:t>
      </w:r>
      <w:r w:rsidRPr="00BC7946">
        <w:rPr>
          <w:sz w:val="20"/>
          <w:szCs w:val="20"/>
        </w:rPr>
        <w:t>d’attente (</w:t>
      </w:r>
      <w:r w:rsidR="00EC10BB" w:rsidRPr="00BC7946">
        <w:rPr>
          <w:sz w:val="20"/>
          <w:szCs w:val="20"/>
        </w:rPr>
        <w:t>10 jours ouvrables) devant la Commission Interne des Marchés de la Direction des Projets Education Formation</w:t>
      </w:r>
    </w:p>
    <w:p w:rsidR="00CB1608" w:rsidRDefault="00CB1608" w:rsidP="00641D7F">
      <w:pPr>
        <w:spacing w:after="0"/>
        <w:jc w:val="right"/>
        <w:rPr>
          <w:sz w:val="24"/>
          <w:szCs w:val="24"/>
        </w:rPr>
      </w:pPr>
    </w:p>
    <w:p w:rsidR="004259B3" w:rsidRDefault="004259B3" w:rsidP="00641D7F">
      <w:pPr>
        <w:spacing w:after="0"/>
        <w:jc w:val="right"/>
        <w:rPr>
          <w:sz w:val="24"/>
          <w:szCs w:val="24"/>
        </w:rPr>
      </w:pPr>
    </w:p>
    <w:p w:rsidR="00641D7F" w:rsidRPr="009A440B" w:rsidRDefault="00641D7F" w:rsidP="00641D7F">
      <w:pPr>
        <w:spacing w:after="0"/>
        <w:jc w:val="right"/>
        <w:rPr>
          <w:sz w:val="24"/>
          <w:szCs w:val="24"/>
        </w:rPr>
      </w:pPr>
      <w:r w:rsidRPr="009A440B">
        <w:rPr>
          <w:sz w:val="24"/>
          <w:szCs w:val="24"/>
        </w:rPr>
        <w:t xml:space="preserve">Mohamed </w:t>
      </w:r>
      <w:proofErr w:type="spellStart"/>
      <w:r w:rsidRPr="009A440B">
        <w:rPr>
          <w:sz w:val="24"/>
          <w:szCs w:val="24"/>
        </w:rPr>
        <w:t>Ould</w:t>
      </w:r>
      <w:proofErr w:type="spellEnd"/>
      <w:r w:rsidRPr="009A440B">
        <w:rPr>
          <w:sz w:val="24"/>
          <w:szCs w:val="24"/>
        </w:rPr>
        <w:t xml:space="preserve"> Sidi Mohamed</w:t>
      </w:r>
    </w:p>
    <w:p w:rsidR="00641D7F" w:rsidRDefault="00641D7F" w:rsidP="00641D7F">
      <w:pPr>
        <w:spacing w:after="0"/>
      </w:pPr>
    </w:p>
    <w:p w:rsidR="00F566CC" w:rsidRDefault="00F566CC" w:rsidP="00641D7F">
      <w:pPr>
        <w:spacing w:after="0"/>
      </w:pPr>
    </w:p>
    <w:p w:rsidR="007136A8" w:rsidRDefault="007136A8" w:rsidP="00F566CC">
      <w:pPr>
        <w:spacing w:after="0"/>
      </w:pPr>
    </w:p>
    <w:p w:rsidR="00684CA6" w:rsidRDefault="00684CA6" w:rsidP="00684CA6">
      <w:pPr>
        <w:pStyle w:val="Paragraphedeliste"/>
        <w:spacing w:after="0"/>
        <w:rPr>
          <w:rFonts w:ascii="Arial" w:hAnsi="Arial"/>
        </w:rPr>
      </w:pPr>
    </w:p>
    <w:p w:rsidR="0068274A" w:rsidRPr="007E51BD" w:rsidRDefault="0068274A" w:rsidP="0068274A">
      <w:pPr>
        <w:tabs>
          <w:tab w:val="left" w:pos="6345"/>
        </w:tabs>
        <w:rPr>
          <w:rFonts w:ascii="Arial" w:hAnsi="Arial"/>
          <w:sz w:val="24"/>
          <w:szCs w:val="24"/>
        </w:rPr>
      </w:pPr>
    </w:p>
    <w:p w:rsidR="0068274A" w:rsidRPr="00673DB2" w:rsidRDefault="0068274A" w:rsidP="002B4C03">
      <w:pPr>
        <w:tabs>
          <w:tab w:val="left" w:pos="5670"/>
        </w:tabs>
        <w:ind w:left="4248" w:firstLine="708"/>
        <w:rPr>
          <w:sz w:val="24"/>
          <w:szCs w:val="24"/>
        </w:rPr>
      </w:pPr>
      <w:r w:rsidRPr="00AB345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8274A" w:rsidRPr="001A2DDD" w:rsidRDefault="0068274A" w:rsidP="002C3386">
      <w:pPr>
        <w:tabs>
          <w:tab w:val="left" w:pos="5670"/>
        </w:tabs>
        <w:ind w:left="4248" w:firstLine="708"/>
        <w:rPr>
          <w:sz w:val="24"/>
          <w:szCs w:val="24"/>
          <w:lang w:val="en-US"/>
        </w:rPr>
      </w:pPr>
      <w:r w:rsidRPr="00673DB2">
        <w:rPr>
          <w:sz w:val="24"/>
          <w:szCs w:val="24"/>
        </w:rPr>
        <w:tab/>
      </w:r>
      <w:r w:rsidRPr="001A2DDD">
        <w:rPr>
          <w:sz w:val="24"/>
          <w:szCs w:val="24"/>
          <w:lang w:val="en-US"/>
        </w:rPr>
        <w:t xml:space="preserve"> </w:t>
      </w:r>
    </w:p>
    <w:p w:rsidR="00E43144" w:rsidRPr="00B14E81" w:rsidRDefault="00E43144" w:rsidP="00B14E81">
      <w:pPr>
        <w:tabs>
          <w:tab w:val="left" w:pos="5670"/>
        </w:tabs>
        <w:jc w:val="both"/>
        <w:rPr>
          <w:sz w:val="24"/>
          <w:szCs w:val="24"/>
        </w:rPr>
      </w:pPr>
    </w:p>
    <w:sectPr w:rsidR="00E43144" w:rsidRPr="00B14E81" w:rsidSect="00972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7D6B"/>
    <w:multiLevelType w:val="hybridMultilevel"/>
    <w:tmpl w:val="DFD0B2C8"/>
    <w:lvl w:ilvl="0" w:tplc="FA02E6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4331"/>
    <w:multiLevelType w:val="hybridMultilevel"/>
    <w:tmpl w:val="FB5E0066"/>
    <w:lvl w:ilvl="0" w:tplc="477498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42593"/>
    <w:multiLevelType w:val="hybridMultilevel"/>
    <w:tmpl w:val="5AD63144"/>
    <w:lvl w:ilvl="0" w:tplc="23D2B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25F60"/>
    <w:multiLevelType w:val="hybridMultilevel"/>
    <w:tmpl w:val="46081DE6"/>
    <w:lvl w:ilvl="0" w:tplc="040C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D64DD"/>
    <w:multiLevelType w:val="hybridMultilevel"/>
    <w:tmpl w:val="F7F4CC7E"/>
    <w:lvl w:ilvl="0" w:tplc="D2580A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909EA"/>
    <w:multiLevelType w:val="hybridMultilevel"/>
    <w:tmpl w:val="44F0012A"/>
    <w:lvl w:ilvl="0" w:tplc="2B76B2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274A"/>
    <w:rsid w:val="000775F1"/>
    <w:rsid w:val="00124CDF"/>
    <w:rsid w:val="00174232"/>
    <w:rsid w:val="001A2DDD"/>
    <w:rsid w:val="001D7944"/>
    <w:rsid w:val="001F5CFC"/>
    <w:rsid w:val="0023025A"/>
    <w:rsid w:val="00294F31"/>
    <w:rsid w:val="002B4C03"/>
    <w:rsid w:val="002C3386"/>
    <w:rsid w:val="00315997"/>
    <w:rsid w:val="00333E8A"/>
    <w:rsid w:val="00377C31"/>
    <w:rsid w:val="003A261B"/>
    <w:rsid w:val="003B111F"/>
    <w:rsid w:val="00410F7C"/>
    <w:rsid w:val="00415CE6"/>
    <w:rsid w:val="004259B3"/>
    <w:rsid w:val="004961E4"/>
    <w:rsid w:val="00500E60"/>
    <w:rsid w:val="00521FB0"/>
    <w:rsid w:val="0054405F"/>
    <w:rsid w:val="0054481C"/>
    <w:rsid w:val="00582406"/>
    <w:rsid w:val="005B7F93"/>
    <w:rsid w:val="00641D7F"/>
    <w:rsid w:val="00673DB2"/>
    <w:rsid w:val="0068274A"/>
    <w:rsid w:val="00684CA6"/>
    <w:rsid w:val="007136A8"/>
    <w:rsid w:val="00717753"/>
    <w:rsid w:val="00720FE3"/>
    <w:rsid w:val="00774766"/>
    <w:rsid w:val="007E4BB0"/>
    <w:rsid w:val="00846530"/>
    <w:rsid w:val="008C6C53"/>
    <w:rsid w:val="00910A41"/>
    <w:rsid w:val="00972219"/>
    <w:rsid w:val="009A440B"/>
    <w:rsid w:val="00A068AC"/>
    <w:rsid w:val="00A13273"/>
    <w:rsid w:val="00A65DAD"/>
    <w:rsid w:val="00A70BB4"/>
    <w:rsid w:val="00AC66A3"/>
    <w:rsid w:val="00AE4B00"/>
    <w:rsid w:val="00B14E81"/>
    <w:rsid w:val="00B804E4"/>
    <w:rsid w:val="00BC749F"/>
    <w:rsid w:val="00BC7946"/>
    <w:rsid w:val="00C237E7"/>
    <w:rsid w:val="00C37ABE"/>
    <w:rsid w:val="00CB1608"/>
    <w:rsid w:val="00CF5549"/>
    <w:rsid w:val="00D03D8F"/>
    <w:rsid w:val="00D32952"/>
    <w:rsid w:val="00DC7C9B"/>
    <w:rsid w:val="00E00A3A"/>
    <w:rsid w:val="00E02ED8"/>
    <w:rsid w:val="00E43144"/>
    <w:rsid w:val="00E67517"/>
    <w:rsid w:val="00E75632"/>
    <w:rsid w:val="00E769B9"/>
    <w:rsid w:val="00EC10BB"/>
    <w:rsid w:val="00F566CC"/>
    <w:rsid w:val="00F97F2E"/>
    <w:rsid w:val="00FC5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4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2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DD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C33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EC1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4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2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DD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C33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EC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MOHAMMAD</cp:lastModifiedBy>
  <cp:revision>2</cp:revision>
  <cp:lastPrinted>2020-05-27T13:44:00Z</cp:lastPrinted>
  <dcterms:created xsi:type="dcterms:W3CDTF">2020-05-27T15:27:00Z</dcterms:created>
  <dcterms:modified xsi:type="dcterms:W3CDTF">2020-05-27T15:27:00Z</dcterms:modified>
</cp:coreProperties>
</file>